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03" w:rsidRPr="00941A1C" w:rsidRDefault="00762903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75606" w:rsidRPr="00941A1C">
        <w:rPr>
          <w:rFonts w:asciiTheme="minorHAnsi" w:hAnsiTheme="minorHAnsi" w:cstheme="minorHAnsi"/>
          <w:b/>
          <w:spacing w:val="-3"/>
          <w:sz w:val="22"/>
          <w:szCs w:val="22"/>
        </w:rPr>
        <w:t>22 14 00</w:t>
      </w:r>
    </w:p>
    <w:p w:rsidR="00762903" w:rsidRPr="00941A1C" w:rsidRDefault="00875606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 xml:space="preserve">FACILITY </w:t>
      </w:r>
      <w:r w:rsidR="00762903" w:rsidRPr="00941A1C">
        <w:rPr>
          <w:rFonts w:asciiTheme="minorHAnsi" w:hAnsiTheme="minorHAnsi" w:cstheme="minorHAnsi"/>
          <w:b/>
          <w:spacing w:val="-3"/>
          <w:sz w:val="22"/>
          <w:szCs w:val="22"/>
        </w:rPr>
        <w:t xml:space="preserve">STORM </w:t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DRAINAGE</w:t>
      </w:r>
      <w:bookmarkEnd w:id="0"/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753B8C"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Drawings and general provisions of Contract, including General and Supplementary Conditions and Division-1 Specification sections, apply to work of this Section.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Division-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22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Basic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Plumbing Requirements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sections apply to work of this section.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DESCRIPTION OF WORK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The drawings, schedules, and this section define the extent of storm water systems work.</w:t>
      </w:r>
    </w:p>
    <w:p w:rsidR="00762903" w:rsidRPr="00941A1C" w:rsidRDefault="00D73D77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The t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renching and backfill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requirements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 conjunction with underground building drain piping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are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in applicable Division-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22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sections, and included as work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this section.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Manufacturer's Qualifications:  Firms regularly engaged in manufacture of storm water systems products of types, materials, and sizes required whose products have been satisfactory use in similar service for not less than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years.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Installer Qualifications: 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Firms with at least 3-years of successful installation experience on projects with storm water systems work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similar to that required for project.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Codes and Standards</w:t>
      </w:r>
    </w:p>
    <w:p w:rsidR="00762903" w:rsidRPr="00941A1C" w:rsidRDefault="0076290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Plumbing Code Compliance:  Comply with applicable portions of </w:t>
      </w:r>
      <w:r w:rsidR="00D73D77" w:rsidRPr="00941A1C">
        <w:rPr>
          <w:rFonts w:asciiTheme="minorHAnsi" w:hAnsiTheme="minorHAnsi" w:cstheme="minorHAnsi"/>
          <w:spacing w:val="-3"/>
          <w:sz w:val="22"/>
          <w:szCs w:val="22"/>
        </w:rPr>
        <w:t>FBC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pertaining to plumbing materials,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construction,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and installation of products.</w:t>
      </w:r>
    </w:p>
    <w:p w:rsidR="00762903" w:rsidRPr="00941A1C" w:rsidRDefault="0076290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ANSI Compliance:  Comply with applicable ANSI Standards pertaining to materials, products, and installation of storm water systems.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Submit manufacturer's technical products data for storm water systems,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materials,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and products.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At project closeout, submit record drawings of installed storm water systems, in accordance with requirements of Division 1.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Submit maintenance data and parts lists for storm water systems materials and products.  Include this data, product data, shop drawings, and record drawings in maintenance manual</w:t>
      </w:r>
      <w:r w:rsidR="00155BBD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in accordance with requirements of Division 1.</w:t>
      </w:r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753B8C"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762903" w:rsidRPr="00941A1C" w:rsidRDefault="0076290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MATERIALS AND PRODUCTS</w:t>
      </w:r>
    </w:p>
    <w:p w:rsidR="00D73D77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Provide piping materials and factory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fabricated piping products of sizes, types, pressure ratings, and capacities as indicated in </w:t>
      </w:r>
      <w:r w:rsidR="00C478D3" w:rsidRPr="00941A1C">
        <w:rPr>
          <w:rFonts w:asciiTheme="minorHAnsi" w:hAnsiTheme="minorHAnsi" w:cstheme="minorHAnsi"/>
          <w:spacing w:val="-3"/>
          <w:sz w:val="22"/>
          <w:szCs w:val="22"/>
        </w:rPr>
        <w:t>section 22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10 00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73D77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Where not indicated, the Installer makes proper selection in per installation requirements.</w:t>
      </w:r>
    </w:p>
    <w:p w:rsidR="00D73D77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Provide sizes and types matching piping and equipment connections; provide fittings of materials, which match pipe materials used in storm water systems.</w:t>
      </w:r>
    </w:p>
    <w:p w:rsidR="00762903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Where more than one type of materials or products </w:t>
      </w:r>
      <w:r w:rsidR="00C478D3" w:rsidRPr="00941A1C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indicated, selection is Installer's option.</w:t>
      </w:r>
    </w:p>
    <w:p w:rsidR="00762903" w:rsidRPr="00941A1C" w:rsidRDefault="0076290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BASIC IDENTIFICATION</w:t>
      </w:r>
    </w:p>
    <w:p w:rsidR="00762903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Provide identification complying with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sections 22 05 00 and 22 05 53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753B8C"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  <w:t>EXECUTION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INSPECTION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Examine substrate and conditions for installation of storm water system being.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Do not proceed with work until all conditions are in an acceptable condition to Installer.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INSTALLATION OF BASIC IDENTIFICATION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Install mechanical identification in accordance with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sections 22 05 00 and 22 05 </w:t>
      </w:r>
      <w:r w:rsidR="00C478D3" w:rsidRPr="00941A1C">
        <w:rPr>
          <w:rFonts w:asciiTheme="minorHAnsi" w:hAnsiTheme="minorHAnsi" w:cstheme="minorHAnsi"/>
          <w:spacing w:val="-3"/>
          <w:sz w:val="22"/>
          <w:szCs w:val="22"/>
        </w:rPr>
        <w:t>53.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INSTALLATION OF BUILDING DRAIN PIPING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Install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storm-building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drains as indicated and in accordance with Florida Building Code.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Lay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storm-building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drains beginning at low point of systems, true to grade and alignment indicated with unbroken continuity of invert.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Place bell ends of piping facing upstream.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 required gaskets in accordance with manufacturer's recommendations for use lubricants, cements, and other special installation requirements.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Clear interior of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all pipes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form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dirt and other superfluous material as work progresses.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Maintain swab or drag in line and pull past each joint as it is completed.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Place plugs in ends of uncompleted piping at end of day or whenever work stops.</w:t>
      </w:r>
    </w:p>
    <w:p w:rsidR="009E733C" w:rsidRPr="00941A1C" w:rsidRDefault="009E733C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On HVAC condensate drains connected to system, provide check valves to prevent water flow reversal from entering the building mechanical room.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INSTALLATION OF ABOVE GRADE STORM DRAINS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Do not install roof drains of piping above electrical equipment.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Insulate all horizontal roof drain, including secondary drains.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FIELD QUALITY CONTROL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TESTING</w:t>
      </w:r>
    </w:p>
    <w:p w:rsidR="00D73D77" w:rsidRPr="00941A1C" w:rsidRDefault="0076290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Flush-out piping systems with clean water before proceeding with required tests.</w:t>
      </w:r>
    </w:p>
    <w:p w:rsidR="00762903" w:rsidRPr="00941A1C" w:rsidRDefault="00762903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Inspect each run of each system for completion of joints, </w:t>
      </w:r>
      <w:r w:rsidR="00BB222B" w:rsidRPr="00941A1C">
        <w:rPr>
          <w:rFonts w:asciiTheme="minorHAnsi" w:hAnsiTheme="minorHAnsi" w:cstheme="minorHAnsi"/>
          <w:spacing w:val="-3"/>
          <w:sz w:val="22"/>
          <w:szCs w:val="22"/>
        </w:rPr>
        <w:t>supports,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and accessory items. </w:t>
      </w:r>
    </w:p>
    <w:p w:rsidR="00D73D77" w:rsidRPr="00941A1C" w:rsidRDefault="0076290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Hydraulically pressure test each section or segment of system prior to backfilling, encasing, enclosing or otherwise preventing visual observation of the section or segment being tested.</w:t>
      </w:r>
    </w:p>
    <w:p w:rsidR="00D73D77" w:rsidRPr="00941A1C" w:rsidRDefault="00BB222B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Contractor shall b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ackfill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underground systems.</w:t>
      </w:r>
    </w:p>
    <w:p w:rsidR="00762903" w:rsidRPr="00941A1C" w:rsidRDefault="00762903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Exposing joints only, permitted on all systems and required on systems having a pressure test exceeding 30 </w:t>
      </w:r>
      <w:proofErr w:type="spellStart"/>
      <w:r w:rsidRPr="00941A1C">
        <w:rPr>
          <w:rFonts w:asciiTheme="minorHAnsi" w:hAnsiTheme="minorHAnsi" w:cstheme="minorHAnsi"/>
          <w:spacing w:val="-3"/>
          <w:sz w:val="22"/>
          <w:szCs w:val="22"/>
        </w:rPr>
        <w:t>psig</w:t>
      </w:r>
      <w:proofErr w:type="spellEnd"/>
      <w:r w:rsidRPr="00941A1C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73D77" w:rsidRPr="00941A1C" w:rsidRDefault="0076290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Water test storm water system at 10' of head for 4 hours.</w:t>
      </w:r>
    </w:p>
    <w:p w:rsidR="00762903" w:rsidRPr="00941A1C" w:rsidRDefault="00D73D77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The t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est standpipe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shall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be a minimum of 10' above the highest point of section tested.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PROTECTION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Protect roof drains during remainder of construction period, to avoid clogging with construction materials and debris, and to prevent damage from traffic and construction work.</w:t>
      </w:r>
      <w:r w:rsidR="001F75F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762903" w:rsidRPr="00941A1C" w:rsidSect="00C478D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5D" w:rsidRDefault="00542E5D">
      <w:r>
        <w:separator/>
      </w:r>
    </w:p>
  </w:endnote>
  <w:endnote w:type="continuationSeparator" w:id="0">
    <w:p w:rsidR="00542E5D" w:rsidRDefault="0054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3C" w:rsidRPr="00941A1C" w:rsidRDefault="009E733C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ab/>
    </w:r>
    <w:r w:rsidRPr="00941A1C">
      <w:rPr>
        <w:rFonts w:asciiTheme="minorHAnsi" w:hAnsiTheme="minorHAnsi" w:cstheme="minorHAnsi"/>
        <w:spacing w:val="-3"/>
        <w:sz w:val="22"/>
      </w:rPr>
      <w:t>22 14 00</w:t>
    </w:r>
    <w:r w:rsidR="00C478D3" w:rsidRPr="00941A1C">
      <w:rPr>
        <w:rFonts w:asciiTheme="minorHAnsi" w:hAnsiTheme="minorHAnsi" w:cstheme="minorHAnsi"/>
        <w:spacing w:val="-3"/>
        <w:sz w:val="22"/>
      </w:rPr>
      <w:t xml:space="preserve"> </w:t>
    </w:r>
    <w:r w:rsidRPr="00941A1C">
      <w:rPr>
        <w:rFonts w:asciiTheme="minorHAnsi" w:hAnsiTheme="minorHAnsi" w:cstheme="minorHAnsi"/>
        <w:sz w:val="22"/>
      </w:rPr>
      <w:t>-</w:t>
    </w:r>
    <w:r w:rsidR="00C478D3" w:rsidRPr="00941A1C">
      <w:rPr>
        <w:rFonts w:asciiTheme="minorHAnsi" w:hAnsiTheme="minorHAnsi" w:cstheme="minorHAnsi"/>
        <w:sz w:val="22"/>
      </w:rPr>
      <w:t xml:space="preserve"> 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begin"/>
    </w:r>
    <w:r w:rsidRPr="00941A1C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separate"/>
    </w:r>
    <w:r w:rsidR="001F75F6">
      <w:rPr>
        <w:rStyle w:val="PageNumber"/>
        <w:rFonts w:asciiTheme="minorHAnsi" w:hAnsiTheme="minorHAnsi" w:cstheme="minorHAnsi"/>
        <w:noProof/>
        <w:sz w:val="22"/>
      </w:rPr>
      <w:t>2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end"/>
    </w:r>
    <w:r w:rsidRPr="00941A1C">
      <w:rPr>
        <w:rStyle w:val="PageNumber"/>
        <w:rFonts w:asciiTheme="minorHAnsi" w:hAnsiTheme="minorHAnsi" w:cstheme="minorHAnsi"/>
        <w:sz w:val="22"/>
      </w:rPr>
      <w:t xml:space="preserve"> of 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begin"/>
    </w:r>
    <w:r w:rsidRPr="00941A1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separate"/>
    </w:r>
    <w:r w:rsidR="001F75F6">
      <w:rPr>
        <w:rStyle w:val="PageNumber"/>
        <w:rFonts w:asciiTheme="minorHAnsi" w:hAnsiTheme="minorHAnsi" w:cstheme="minorHAnsi"/>
        <w:noProof/>
        <w:sz w:val="22"/>
      </w:rPr>
      <w:t>2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end"/>
    </w:r>
    <w:r w:rsidRPr="00941A1C">
      <w:rPr>
        <w:rStyle w:val="PageNumber"/>
        <w:rFonts w:asciiTheme="minorHAnsi" w:hAnsiTheme="minorHAnsi" w:cstheme="minorHAnsi"/>
        <w:sz w:val="22"/>
      </w:rPr>
      <w:tab/>
      <w:t>Facility Storm Drainage</w:t>
    </w:r>
  </w:p>
  <w:p w:rsidR="009E733C" w:rsidRPr="00941A1C" w:rsidRDefault="009E733C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41A1C">
      <w:rPr>
        <w:rStyle w:val="PageNumber"/>
        <w:rFonts w:asciiTheme="minorHAnsi" w:hAnsiTheme="minorHAnsi" w:cstheme="minorHAnsi"/>
        <w:sz w:val="22"/>
      </w:rPr>
      <w:tab/>
    </w:r>
    <w:r w:rsidRPr="00941A1C">
      <w:rPr>
        <w:rStyle w:val="PageNumber"/>
        <w:rFonts w:asciiTheme="minorHAnsi" w:hAnsiTheme="minorHAnsi" w:cstheme="minorHAnsi"/>
        <w:sz w:val="22"/>
      </w:rPr>
      <w:tab/>
    </w:r>
    <w:r w:rsidR="00941A1C">
      <w:rPr>
        <w:rStyle w:val="PageNumber"/>
        <w:rFonts w:asciiTheme="minorHAnsi" w:hAnsiTheme="minorHAnsi" w:cstheme="minorHAnsi"/>
        <w:sz w:val="22"/>
      </w:rPr>
      <w:t>DMS 202</w:t>
    </w:r>
    <w:r w:rsidR="00123EE1">
      <w:rPr>
        <w:rStyle w:val="PageNumber"/>
        <w:rFonts w:asciiTheme="minorHAnsi" w:hAnsiTheme="minorHAnsi" w:cstheme="minorHAnsi"/>
        <w:sz w:val="22"/>
      </w:rPr>
      <w:t>3</w:t>
    </w:r>
    <w:r w:rsidR="00155BBD" w:rsidRPr="00941A1C">
      <w:rPr>
        <w:rStyle w:val="PageNumber"/>
        <w:rFonts w:asciiTheme="minorHAnsi" w:hAnsiTheme="minorHAnsi" w:cstheme="minorHAnsi"/>
        <w:sz w:val="22"/>
      </w:rPr>
      <w:t xml:space="preserve"> </w:t>
    </w:r>
    <w:r w:rsidRPr="00941A1C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5D" w:rsidRDefault="00542E5D">
      <w:r>
        <w:separator/>
      </w:r>
    </w:p>
  </w:footnote>
  <w:footnote w:type="continuationSeparator" w:id="0">
    <w:p w:rsidR="00542E5D" w:rsidRDefault="0054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3C" w:rsidRPr="00941A1C" w:rsidRDefault="009E733C">
    <w:pPr>
      <w:pStyle w:val="Header"/>
      <w:rPr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smartTag w:uri="urn:schemas-microsoft-com:office:smarttags" w:element="PlaceType">
        <w:r w:rsidRPr="00941A1C">
          <w:rPr>
            <w:rFonts w:asciiTheme="minorHAnsi" w:hAnsiTheme="minorHAnsi" w:cstheme="minorHAnsi"/>
            <w:sz w:val="22"/>
          </w:rPr>
          <w:t>School District</w:t>
        </w:r>
      </w:smartTag>
      <w:r w:rsidRPr="00941A1C">
        <w:rPr>
          <w:rFonts w:asciiTheme="minorHAnsi" w:hAnsiTheme="minorHAnsi" w:cstheme="minorHAnsi"/>
          <w:sz w:val="22"/>
        </w:rPr>
        <w:t xml:space="preserve"> of </w:t>
      </w:r>
      <w:smartTag w:uri="urn:schemas-microsoft-com:office:smarttags" w:element="PlaceName">
        <w:r w:rsidRPr="00941A1C">
          <w:rPr>
            <w:rFonts w:asciiTheme="minorHAnsi" w:hAnsiTheme="minorHAnsi" w:cstheme="minorHAnsi"/>
            <w:sz w:val="22"/>
          </w:rPr>
          <w:t>Palm Beach</w:t>
        </w:r>
      </w:smartTag>
    </w:smartTag>
    <w:r w:rsidRPr="00941A1C">
      <w:rPr>
        <w:rFonts w:asciiTheme="minorHAnsi" w:hAnsiTheme="minorHAnsi" w:cstheme="minorHAnsi"/>
        <w:sz w:val="22"/>
      </w:rPr>
      <w:t xml:space="preserve"> county</w:t>
    </w:r>
  </w:p>
  <w:p w:rsidR="009E733C" w:rsidRPr="00941A1C" w:rsidRDefault="009E733C">
    <w:pPr>
      <w:pStyle w:val="Header"/>
      <w:rPr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 xml:space="preserve">Project Name: </w:t>
    </w:r>
  </w:p>
  <w:p w:rsidR="009E733C" w:rsidRPr="00941A1C" w:rsidRDefault="009E733C">
    <w:pPr>
      <w:pStyle w:val="Header"/>
      <w:rPr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 xml:space="preserve">SDPBC Project No.: </w:t>
    </w:r>
  </w:p>
  <w:p w:rsidR="009E733C" w:rsidRDefault="009E733C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620"/>
        </w:tabs>
        <w:ind w:left="1620" w:hanging="540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070"/>
        </w:tabs>
        <w:ind w:left="2070" w:hanging="45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3B2021"/>
    <w:multiLevelType w:val="multilevel"/>
    <w:tmpl w:val="C1FA109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10721CBF"/>
    <w:multiLevelType w:val="multilevel"/>
    <w:tmpl w:val="FEFA4C5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3EAC127D"/>
    <w:multiLevelType w:val="multilevel"/>
    <w:tmpl w:val="FE84936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1" w15:restartNumberingAfterBreak="0">
    <w:nsid w:val="45145846"/>
    <w:multiLevelType w:val="multilevel"/>
    <w:tmpl w:val="56F8E4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7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84"/>
    <w:rsid w:val="00123EE1"/>
    <w:rsid w:val="00155BBD"/>
    <w:rsid w:val="001F75F6"/>
    <w:rsid w:val="003E5042"/>
    <w:rsid w:val="00542E5D"/>
    <w:rsid w:val="00594D13"/>
    <w:rsid w:val="00733C6D"/>
    <w:rsid w:val="00753B8C"/>
    <w:rsid w:val="00762903"/>
    <w:rsid w:val="00875606"/>
    <w:rsid w:val="00941A1C"/>
    <w:rsid w:val="009E733C"/>
    <w:rsid w:val="00A40384"/>
    <w:rsid w:val="00A55833"/>
    <w:rsid w:val="00AA684E"/>
    <w:rsid w:val="00BB222B"/>
    <w:rsid w:val="00C478D3"/>
    <w:rsid w:val="00C66E7F"/>
    <w:rsid w:val="00D73D77"/>
    <w:rsid w:val="00F257CA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E92661C-C35F-4B56-807A-AAD9239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84E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rsid w:val="00AA684E"/>
    <w:pPr>
      <w:keepNext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A684E"/>
  </w:style>
  <w:style w:type="paragraph" w:customStyle="1" w:styleId="Level1">
    <w:name w:val="Level 1"/>
    <w:basedOn w:val="Normal"/>
    <w:rsid w:val="00AA684E"/>
    <w:pPr>
      <w:numPr>
        <w:numId w:val="8"/>
      </w:numPr>
      <w:ind w:left="1620" w:hanging="540"/>
      <w:outlineLvl w:val="0"/>
    </w:pPr>
  </w:style>
  <w:style w:type="paragraph" w:customStyle="1" w:styleId="Level2">
    <w:name w:val="Level 2"/>
    <w:basedOn w:val="Normal"/>
    <w:rsid w:val="00AA684E"/>
    <w:pPr>
      <w:numPr>
        <w:ilvl w:val="1"/>
        <w:numId w:val="6"/>
      </w:numPr>
      <w:ind w:left="1620" w:hanging="540"/>
      <w:outlineLvl w:val="1"/>
    </w:pPr>
  </w:style>
  <w:style w:type="paragraph" w:customStyle="1" w:styleId="Level3">
    <w:name w:val="Level 3"/>
    <w:basedOn w:val="Normal"/>
    <w:rsid w:val="00AA684E"/>
    <w:pPr>
      <w:numPr>
        <w:ilvl w:val="2"/>
        <w:numId w:val="7"/>
      </w:numPr>
      <w:ind w:left="2070" w:hanging="450"/>
      <w:outlineLvl w:val="2"/>
    </w:pPr>
  </w:style>
  <w:style w:type="paragraph" w:styleId="Header">
    <w:name w:val="header"/>
    <w:basedOn w:val="Normal"/>
    <w:rsid w:val="00AA6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68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4E"/>
  </w:style>
  <w:style w:type="paragraph" w:styleId="BalloonText">
    <w:name w:val="Balloon Text"/>
    <w:basedOn w:val="Normal"/>
    <w:semiHidden/>
    <w:rsid w:val="00D7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15413</vt:lpstr>
    </vt:vector>
  </TitlesOfParts>
  <Company>SDPBC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STORM DRAINAGE</dc:title>
  <dc:subject/>
  <dc:creator>SDPBC</dc:creator>
  <cp:keywords/>
  <cp:lastModifiedBy>Rosa Ayala</cp:lastModifiedBy>
  <cp:revision>2</cp:revision>
  <dcterms:created xsi:type="dcterms:W3CDTF">2023-03-17T14:30:00Z</dcterms:created>
  <dcterms:modified xsi:type="dcterms:W3CDTF">2023-03-17T14:30:00Z</dcterms:modified>
</cp:coreProperties>
</file>